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54CE3" w14:textId="734D5435" w:rsidR="00FF560D" w:rsidRDefault="00FF560D" w:rsidP="00FF560D">
      <w:pPr>
        <w:pStyle w:val="Heading2"/>
      </w:pPr>
      <w:bookmarkStart w:id="0" w:name="_Toc437866692"/>
      <w:r>
        <w:t>Sample Check list for Accounting E</w:t>
      </w:r>
      <w:r w:rsidR="00E706FD">
        <w:t xml:space="preserve">nd </w:t>
      </w:r>
      <w:r>
        <w:t>O</w:t>
      </w:r>
      <w:r w:rsidR="00E706FD">
        <w:t xml:space="preserve">f </w:t>
      </w:r>
      <w:r>
        <w:t>M</w:t>
      </w:r>
      <w:bookmarkEnd w:id="0"/>
      <w:r w:rsidR="00E706FD">
        <w:t>onth Procedures</w:t>
      </w:r>
    </w:p>
    <w:p w14:paraId="69436938" w14:textId="77777777" w:rsidR="00FF560D" w:rsidRDefault="00FF560D" w:rsidP="00FF560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4"/>
        <w:gridCol w:w="798"/>
        <w:gridCol w:w="1215"/>
        <w:gridCol w:w="1215"/>
        <w:gridCol w:w="1215"/>
        <w:gridCol w:w="1215"/>
        <w:gridCol w:w="1215"/>
        <w:gridCol w:w="1210"/>
        <w:gridCol w:w="1215"/>
        <w:gridCol w:w="1215"/>
        <w:gridCol w:w="1215"/>
        <w:gridCol w:w="1215"/>
        <w:gridCol w:w="1210"/>
      </w:tblGrid>
      <w:tr w:rsidR="00FF560D" w14:paraId="12A147E5" w14:textId="77777777" w:rsidTr="004573AE">
        <w:trPr>
          <w:trHeight w:val="251"/>
        </w:trPr>
        <w:tc>
          <w:tcPr>
            <w:tcW w:w="1878" w:type="pct"/>
            <w:shd w:val="clear" w:color="auto" w:fill="auto"/>
          </w:tcPr>
          <w:p w14:paraId="5A28717E" w14:textId="77777777" w:rsidR="00FF560D" w:rsidRDefault="00FF560D" w:rsidP="004573AE"/>
        </w:tc>
        <w:tc>
          <w:tcPr>
            <w:tcW w:w="176" w:type="pct"/>
            <w:shd w:val="clear" w:color="auto" w:fill="auto"/>
          </w:tcPr>
          <w:p w14:paraId="5C96DB0B" w14:textId="77777777" w:rsidR="00FF560D" w:rsidRDefault="00FF560D" w:rsidP="004573AE">
            <w:r>
              <w:t>A</w:t>
            </w:r>
          </w:p>
        </w:tc>
        <w:tc>
          <w:tcPr>
            <w:tcW w:w="268" w:type="pct"/>
            <w:shd w:val="clear" w:color="auto" w:fill="auto"/>
          </w:tcPr>
          <w:p w14:paraId="225E20E5" w14:textId="77777777" w:rsidR="00FF560D" w:rsidRDefault="00FF560D" w:rsidP="004573AE">
            <w:r>
              <w:t>M</w:t>
            </w:r>
          </w:p>
        </w:tc>
        <w:tc>
          <w:tcPr>
            <w:tcW w:w="268" w:type="pct"/>
            <w:shd w:val="clear" w:color="auto" w:fill="auto"/>
          </w:tcPr>
          <w:p w14:paraId="1020BA40" w14:textId="77777777" w:rsidR="00FF560D" w:rsidRDefault="00FF560D" w:rsidP="004573AE">
            <w:r>
              <w:t>J</w:t>
            </w:r>
          </w:p>
        </w:tc>
        <w:tc>
          <w:tcPr>
            <w:tcW w:w="268" w:type="pct"/>
            <w:shd w:val="clear" w:color="auto" w:fill="auto"/>
          </w:tcPr>
          <w:p w14:paraId="5295E08C" w14:textId="77777777" w:rsidR="00FF560D" w:rsidRDefault="00FF560D" w:rsidP="004573AE">
            <w:r>
              <w:t>J</w:t>
            </w:r>
          </w:p>
        </w:tc>
        <w:tc>
          <w:tcPr>
            <w:tcW w:w="268" w:type="pct"/>
            <w:shd w:val="clear" w:color="auto" w:fill="auto"/>
          </w:tcPr>
          <w:p w14:paraId="5AD436A5" w14:textId="77777777" w:rsidR="00FF560D" w:rsidRDefault="00FF560D" w:rsidP="004573AE">
            <w:r>
              <w:t>A</w:t>
            </w:r>
          </w:p>
        </w:tc>
        <w:tc>
          <w:tcPr>
            <w:tcW w:w="268" w:type="pct"/>
            <w:shd w:val="clear" w:color="auto" w:fill="auto"/>
          </w:tcPr>
          <w:p w14:paraId="1A414557" w14:textId="77777777" w:rsidR="00FF560D" w:rsidRDefault="00FF560D" w:rsidP="004573AE">
            <w:r>
              <w:t>S</w:t>
            </w:r>
          </w:p>
        </w:tc>
        <w:tc>
          <w:tcPr>
            <w:tcW w:w="267" w:type="pct"/>
            <w:shd w:val="clear" w:color="auto" w:fill="auto"/>
          </w:tcPr>
          <w:p w14:paraId="550DD593" w14:textId="77777777" w:rsidR="00FF560D" w:rsidRDefault="00FF560D" w:rsidP="004573AE">
            <w:r>
              <w:t>O</w:t>
            </w:r>
          </w:p>
        </w:tc>
        <w:tc>
          <w:tcPr>
            <w:tcW w:w="268" w:type="pct"/>
            <w:shd w:val="clear" w:color="auto" w:fill="auto"/>
          </w:tcPr>
          <w:p w14:paraId="0EC7405F" w14:textId="77777777" w:rsidR="00FF560D" w:rsidRDefault="00FF560D" w:rsidP="004573AE">
            <w:r>
              <w:t>N</w:t>
            </w:r>
          </w:p>
        </w:tc>
        <w:tc>
          <w:tcPr>
            <w:tcW w:w="268" w:type="pct"/>
            <w:shd w:val="clear" w:color="auto" w:fill="auto"/>
          </w:tcPr>
          <w:p w14:paraId="0CFD396F" w14:textId="77777777" w:rsidR="00FF560D" w:rsidRDefault="00FF560D" w:rsidP="004573AE">
            <w:r>
              <w:t>D</w:t>
            </w:r>
          </w:p>
        </w:tc>
        <w:tc>
          <w:tcPr>
            <w:tcW w:w="268" w:type="pct"/>
            <w:shd w:val="clear" w:color="auto" w:fill="auto"/>
          </w:tcPr>
          <w:p w14:paraId="6990FE49" w14:textId="77777777" w:rsidR="00FF560D" w:rsidRDefault="00FF560D" w:rsidP="004573AE">
            <w:r>
              <w:t>J</w:t>
            </w:r>
          </w:p>
        </w:tc>
        <w:tc>
          <w:tcPr>
            <w:tcW w:w="268" w:type="pct"/>
            <w:shd w:val="clear" w:color="auto" w:fill="auto"/>
          </w:tcPr>
          <w:p w14:paraId="7A7821BD" w14:textId="77777777" w:rsidR="00FF560D" w:rsidRDefault="00FF560D" w:rsidP="004573AE">
            <w:r>
              <w:t>F</w:t>
            </w:r>
          </w:p>
        </w:tc>
        <w:tc>
          <w:tcPr>
            <w:tcW w:w="268" w:type="pct"/>
            <w:shd w:val="clear" w:color="auto" w:fill="auto"/>
          </w:tcPr>
          <w:p w14:paraId="6DB34D16" w14:textId="77777777" w:rsidR="00FF560D" w:rsidRDefault="00FF560D" w:rsidP="004573AE">
            <w:r>
              <w:t>M</w:t>
            </w:r>
          </w:p>
        </w:tc>
      </w:tr>
      <w:tr w:rsidR="00FF560D" w14:paraId="23C50F42" w14:textId="77777777" w:rsidTr="004573AE">
        <w:trPr>
          <w:trHeight w:val="251"/>
        </w:trPr>
        <w:tc>
          <w:tcPr>
            <w:tcW w:w="1878" w:type="pct"/>
            <w:shd w:val="clear" w:color="auto" w:fill="auto"/>
          </w:tcPr>
          <w:p w14:paraId="504FDC41" w14:textId="77777777" w:rsidR="00FF560D" w:rsidRDefault="00FF560D" w:rsidP="004573AE">
            <w:r>
              <w:t>Process banking</w:t>
            </w:r>
          </w:p>
        </w:tc>
        <w:tc>
          <w:tcPr>
            <w:tcW w:w="176" w:type="pct"/>
            <w:shd w:val="clear" w:color="auto" w:fill="auto"/>
          </w:tcPr>
          <w:p w14:paraId="22C18F11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769A56C4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9FF8402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7A77FC4B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6816B298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49CE5A0B" w14:textId="77777777" w:rsidR="00FF560D" w:rsidRDefault="00FF560D" w:rsidP="004573AE"/>
        </w:tc>
        <w:tc>
          <w:tcPr>
            <w:tcW w:w="267" w:type="pct"/>
            <w:shd w:val="clear" w:color="auto" w:fill="auto"/>
          </w:tcPr>
          <w:p w14:paraId="0C613642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086B48CA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6D41373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60FAE0BE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38CBB2F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8F5AB9B" w14:textId="77777777" w:rsidR="00FF560D" w:rsidRDefault="00FF560D" w:rsidP="004573AE"/>
        </w:tc>
      </w:tr>
      <w:tr w:rsidR="00FF560D" w14:paraId="3369F6E5" w14:textId="77777777" w:rsidTr="004573AE">
        <w:trPr>
          <w:trHeight w:val="251"/>
        </w:trPr>
        <w:tc>
          <w:tcPr>
            <w:tcW w:w="1878" w:type="pct"/>
            <w:shd w:val="clear" w:color="auto" w:fill="auto"/>
          </w:tcPr>
          <w:p w14:paraId="59E7286C" w14:textId="77777777" w:rsidR="00FF560D" w:rsidRDefault="00FF560D" w:rsidP="004573AE">
            <w:r>
              <w:t>Post cash book transactions</w:t>
            </w:r>
          </w:p>
        </w:tc>
        <w:tc>
          <w:tcPr>
            <w:tcW w:w="176" w:type="pct"/>
            <w:shd w:val="clear" w:color="auto" w:fill="auto"/>
          </w:tcPr>
          <w:p w14:paraId="1406A216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5D84DA37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4CB460F9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3EF90700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728E5CF8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5A918B5B" w14:textId="77777777" w:rsidR="00FF560D" w:rsidRDefault="00FF560D" w:rsidP="004573AE"/>
        </w:tc>
        <w:tc>
          <w:tcPr>
            <w:tcW w:w="267" w:type="pct"/>
            <w:shd w:val="clear" w:color="auto" w:fill="auto"/>
          </w:tcPr>
          <w:p w14:paraId="1C9C063D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28A82662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55D5375F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6FBA1312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507A9864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0A35221A" w14:textId="77777777" w:rsidR="00FF560D" w:rsidRDefault="00FF560D" w:rsidP="004573AE"/>
        </w:tc>
      </w:tr>
      <w:tr w:rsidR="00FF560D" w14:paraId="62FC5C95" w14:textId="77777777" w:rsidTr="004573AE">
        <w:trPr>
          <w:trHeight w:val="251"/>
        </w:trPr>
        <w:tc>
          <w:tcPr>
            <w:tcW w:w="1878" w:type="pct"/>
            <w:shd w:val="clear" w:color="auto" w:fill="auto"/>
          </w:tcPr>
          <w:p w14:paraId="0331728E" w14:textId="38B77DC7" w:rsidR="00FF560D" w:rsidRDefault="00FF560D" w:rsidP="004573AE">
            <w:r>
              <w:t>Check and approve all Receivable Invoices before month end.  Make sure the End of Day is run for the last day of the month</w:t>
            </w:r>
          </w:p>
        </w:tc>
        <w:tc>
          <w:tcPr>
            <w:tcW w:w="176" w:type="pct"/>
            <w:shd w:val="clear" w:color="auto" w:fill="auto"/>
          </w:tcPr>
          <w:p w14:paraId="1B047061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457F4F6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0D5D42EF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4DDD7BD4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44E445EA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045AE9F1" w14:textId="77777777" w:rsidR="00FF560D" w:rsidRDefault="00FF560D" w:rsidP="004573AE"/>
        </w:tc>
        <w:tc>
          <w:tcPr>
            <w:tcW w:w="267" w:type="pct"/>
            <w:shd w:val="clear" w:color="auto" w:fill="auto"/>
          </w:tcPr>
          <w:p w14:paraId="2ECD846A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D5DA363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2C51CE61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596728AB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65900242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60B38B85" w14:textId="77777777" w:rsidR="00FF560D" w:rsidRDefault="00FF560D" w:rsidP="004573AE"/>
        </w:tc>
      </w:tr>
      <w:tr w:rsidR="00FF560D" w14:paraId="7CC6B3E2" w14:textId="77777777" w:rsidTr="004573AE">
        <w:trPr>
          <w:trHeight w:val="251"/>
        </w:trPr>
        <w:tc>
          <w:tcPr>
            <w:tcW w:w="1878" w:type="pct"/>
            <w:shd w:val="clear" w:color="auto" w:fill="auto"/>
          </w:tcPr>
          <w:p w14:paraId="0678B638" w14:textId="13FBAA0D" w:rsidR="00FF560D" w:rsidRDefault="008758D8" w:rsidP="004573AE">
            <w:r>
              <w:t>Ensure Points levels are correct</w:t>
            </w:r>
          </w:p>
        </w:tc>
        <w:tc>
          <w:tcPr>
            <w:tcW w:w="176" w:type="pct"/>
            <w:shd w:val="clear" w:color="auto" w:fill="auto"/>
          </w:tcPr>
          <w:p w14:paraId="5FF34002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1EB7960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19C19E4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2C99F448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293D2754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2A1A8BB2" w14:textId="77777777" w:rsidR="00FF560D" w:rsidRDefault="00FF560D" w:rsidP="004573AE"/>
        </w:tc>
        <w:tc>
          <w:tcPr>
            <w:tcW w:w="267" w:type="pct"/>
            <w:shd w:val="clear" w:color="auto" w:fill="auto"/>
          </w:tcPr>
          <w:p w14:paraId="576DFEC2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31D3432D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0C4E201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6C1EECDE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7971FCCD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24FC43ED" w14:textId="77777777" w:rsidR="00FF560D" w:rsidRDefault="00FF560D" w:rsidP="004573AE"/>
        </w:tc>
      </w:tr>
      <w:tr w:rsidR="00FF560D" w14:paraId="58057612" w14:textId="77777777" w:rsidTr="004573AE">
        <w:trPr>
          <w:trHeight w:val="251"/>
        </w:trPr>
        <w:tc>
          <w:tcPr>
            <w:tcW w:w="1878" w:type="pct"/>
            <w:shd w:val="clear" w:color="auto" w:fill="auto"/>
          </w:tcPr>
          <w:p w14:paraId="6DEFEEAB" w14:textId="7697EA12" w:rsidR="00FF560D" w:rsidRDefault="00FF560D" w:rsidP="004573AE">
            <w:r>
              <w:t>Close Receivable Month (1st)</w:t>
            </w:r>
            <w:r w:rsidR="008758D8">
              <w:t xml:space="preserve"> (Automatically creates statements and updates points.)</w:t>
            </w:r>
          </w:p>
        </w:tc>
        <w:tc>
          <w:tcPr>
            <w:tcW w:w="176" w:type="pct"/>
            <w:shd w:val="clear" w:color="auto" w:fill="auto"/>
          </w:tcPr>
          <w:p w14:paraId="28A402D8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370DE186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2A91AF57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32007865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571781B9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3BD8778A" w14:textId="77777777" w:rsidR="00FF560D" w:rsidRDefault="00FF560D" w:rsidP="004573AE"/>
        </w:tc>
        <w:tc>
          <w:tcPr>
            <w:tcW w:w="267" w:type="pct"/>
            <w:shd w:val="clear" w:color="auto" w:fill="auto"/>
          </w:tcPr>
          <w:p w14:paraId="7A6EC118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05F2BF5E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4CA42030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4F739D44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21650CA7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3CA31911" w14:textId="77777777" w:rsidR="00FF560D" w:rsidRDefault="00FF560D" w:rsidP="004573AE"/>
        </w:tc>
      </w:tr>
      <w:tr w:rsidR="00FF560D" w14:paraId="4C65F691" w14:textId="77777777" w:rsidTr="004573AE">
        <w:trPr>
          <w:trHeight w:val="251"/>
        </w:trPr>
        <w:tc>
          <w:tcPr>
            <w:tcW w:w="1878" w:type="pct"/>
            <w:shd w:val="clear" w:color="auto" w:fill="auto"/>
          </w:tcPr>
          <w:p w14:paraId="648F62A9" w14:textId="77777777" w:rsidR="00FF560D" w:rsidRDefault="00FF560D" w:rsidP="004573AE"/>
        </w:tc>
        <w:tc>
          <w:tcPr>
            <w:tcW w:w="176" w:type="pct"/>
            <w:shd w:val="clear" w:color="auto" w:fill="auto"/>
          </w:tcPr>
          <w:p w14:paraId="6BC8CA3A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103154D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3E54D2C3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5726479F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72969538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5E78C38" w14:textId="77777777" w:rsidR="00FF560D" w:rsidRDefault="00FF560D" w:rsidP="004573AE"/>
        </w:tc>
        <w:tc>
          <w:tcPr>
            <w:tcW w:w="267" w:type="pct"/>
            <w:shd w:val="clear" w:color="auto" w:fill="auto"/>
          </w:tcPr>
          <w:p w14:paraId="6EFAF205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2C239411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6BF41987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0E844994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04077E39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2E8200D0" w14:textId="77777777" w:rsidR="00FF560D" w:rsidRDefault="00FF560D" w:rsidP="004573AE"/>
        </w:tc>
      </w:tr>
      <w:tr w:rsidR="00FF560D" w14:paraId="0DA231BC" w14:textId="77777777" w:rsidTr="004573AE">
        <w:trPr>
          <w:trHeight w:val="251"/>
        </w:trPr>
        <w:tc>
          <w:tcPr>
            <w:tcW w:w="1878" w:type="pct"/>
            <w:shd w:val="clear" w:color="auto" w:fill="auto"/>
          </w:tcPr>
          <w:p w14:paraId="7EB0EBB1" w14:textId="77777777" w:rsidR="00FF560D" w:rsidRDefault="00FF560D" w:rsidP="004573AE">
            <w:r>
              <w:t>Fixed Loan post instalments</w:t>
            </w:r>
          </w:p>
        </w:tc>
        <w:tc>
          <w:tcPr>
            <w:tcW w:w="176" w:type="pct"/>
            <w:shd w:val="clear" w:color="auto" w:fill="auto"/>
          </w:tcPr>
          <w:p w14:paraId="644EEF64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4342C68A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73C77598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45F743C7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39EFF100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44FD6052" w14:textId="77777777" w:rsidR="00FF560D" w:rsidRDefault="00FF560D" w:rsidP="004573AE"/>
        </w:tc>
        <w:tc>
          <w:tcPr>
            <w:tcW w:w="267" w:type="pct"/>
            <w:shd w:val="clear" w:color="auto" w:fill="auto"/>
          </w:tcPr>
          <w:p w14:paraId="47650307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09320A33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5FBDF428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54C9420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35DB5130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39C675CE" w14:textId="77777777" w:rsidR="00FF560D" w:rsidRDefault="00FF560D" w:rsidP="004573AE"/>
        </w:tc>
      </w:tr>
      <w:tr w:rsidR="00FF560D" w14:paraId="27D472FE" w14:textId="77777777" w:rsidTr="004573AE">
        <w:trPr>
          <w:trHeight w:val="251"/>
        </w:trPr>
        <w:tc>
          <w:tcPr>
            <w:tcW w:w="1878" w:type="pct"/>
            <w:shd w:val="clear" w:color="auto" w:fill="auto"/>
          </w:tcPr>
          <w:p w14:paraId="225AC13B" w14:textId="77777777" w:rsidR="00FF560D" w:rsidRDefault="00FF560D" w:rsidP="004573AE">
            <w:r>
              <w:t>Fixed Loan EOM</w:t>
            </w:r>
          </w:p>
        </w:tc>
        <w:tc>
          <w:tcPr>
            <w:tcW w:w="176" w:type="pct"/>
            <w:shd w:val="clear" w:color="auto" w:fill="auto"/>
          </w:tcPr>
          <w:p w14:paraId="0EB3B64D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F654E7D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0C80D2D3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4524B215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2BD0A9C5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7F0DB1BF" w14:textId="77777777" w:rsidR="00FF560D" w:rsidRDefault="00FF560D" w:rsidP="004573AE"/>
        </w:tc>
        <w:tc>
          <w:tcPr>
            <w:tcW w:w="267" w:type="pct"/>
            <w:shd w:val="clear" w:color="auto" w:fill="auto"/>
          </w:tcPr>
          <w:p w14:paraId="4B68DBA8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0BF8BD5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F642F04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616C6E9D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7DC65CA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7D39A74F" w14:textId="77777777" w:rsidR="00FF560D" w:rsidRDefault="00FF560D" w:rsidP="004573AE"/>
        </w:tc>
      </w:tr>
      <w:tr w:rsidR="00FF560D" w14:paraId="3BEF67FA" w14:textId="77777777" w:rsidTr="004573AE">
        <w:trPr>
          <w:trHeight w:val="251"/>
        </w:trPr>
        <w:tc>
          <w:tcPr>
            <w:tcW w:w="1878" w:type="pct"/>
            <w:shd w:val="clear" w:color="auto" w:fill="auto"/>
          </w:tcPr>
          <w:p w14:paraId="1C4C4654" w14:textId="77777777" w:rsidR="00FF560D" w:rsidRDefault="00FF560D" w:rsidP="004573AE">
            <w:r>
              <w:t>Lease Post Instalments</w:t>
            </w:r>
          </w:p>
        </w:tc>
        <w:tc>
          <w:tcPr>
            <w:tcW w:w="176" w:type="pct"/>
            <w:shd w:val="clear" w:color="auto" w:fill="auto"/>
          </w:tcPr>
          <w:p w14:paraId="3532C601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77E2E4C2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566EE2DB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7701D97A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D010912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4BC5B2CF" w14:textId="77777777" w:rsidR="00FF560D" w:rsidRDefault="00FF560D" w:rsidP="004573AE"/>
        </w:tc>
        <w:tc>
          <w:tcPr>
            <w:tcW w:w="267" w:type="pct"/>
            <w:shd w:val="clear" w:color="auto" w:fill="auto"/>
          </w:tcPr>
          <w:p w14:paraId="7A697CAC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3BE0CBA5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39F147D7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785DE735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457BCFDE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39E25BFA" w14:textId="77777777" w:rsidR="00FF560D" w:rsidRDefault="00FF560D" w:rsidP="004573AE"/>
        </w:tc>
      </w:tr>
      <w:tr w:rsidR="00FF560D" w14:paraId="54BD7472" w14:textId="77777777" w:rsidTr="004573AE">
        <w:trPr>
          <w:trHeight w:val="252"/>
        </w:trPr>
        <w:tc>
          <w:tcPr>
            <w:tcW w:w="1878" w:type="pct"/>
            <w:shd w:val="clear" w:color="auto" w:fill="auto"/>
          </w:tcPr>
          <w:p w14:paraId="6A74B9B5" w14:textId="77777777" w:rsidR="00FF560D" w:rsidRDefault="00FF560D" w:rsidP="004573AE">
            <w:r>
              <w:t>Lease EOM</w:t>
            </w:r>
          </w:p>
        </w:tc>
        <w:tc>
          <w:tcPr>
            <w:tcW w:w="176" w:type="pct"/>
            <w:shd w:val="clear" w:color="auto" w:fill="auto"/>
          </w:tcPr>
          <w:p w14:paraId="1B05576E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36F7E869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5F9BC8A1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766CA313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40B900E5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46427BD" w14:textId="77777777" w:rsidR="00FF560D" w:rsidRDefault="00FF560D" w:rsidP="004573AE"/>
        </w:tc>
        <w:tc>
          <w:tcPr>
            <w:tcW w:w="267" w:type="pct"/>
            <w:shd w:val="clear" w:color="auto" w:fill="auto"/>
          </w:tcPr>
          <w:p w14:paraId="61552944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B1D0AF8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443A89D6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4C6A3FF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238E2B88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2028B53C" w14:textId="77777777" w:rsidR="00FF560D" w:rsidRDefault="00FF560D" w:rsidP="004573AE"/>
        </w:tc>
      </w:tr>
      <w:tr w:rsidR="00FF560D" w14:paraId="340243EA" w14:textId="77777777" w:rsidTr="004573AE">
        <w:trPr>
          <w:trHeight w:val="251"/>
        </w:trPr>
        <w:tc>
          <w:tcPr>
            <w:tcW w:w="1878" w:type="pct"/>
            <w:shd w:val="clear" w:color="auto" w:fill="auto"/>
          </w:tcPr>
          <w:p w14:paraId="0329155B" w14:textId="77777777" w:rsidR="00FF560D" w:rsidRDefault="00FF560D" w:rsidP="004573AE">
            <w:r>
              <w:t>Dealer EOM</w:t>
            </w:r>
          </w:p>
        </w:tc>
        <w:tc>
          <w:tcPr>
            <w:tcW w:w="176" w:type="pct"/>
            <w:shd w:val="clear" w:color="auto" w:fill="auto"/>
          </w:tcPr>
          <w:p w14:paraId="5A24F2AA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567E3CD9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43F1408D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9463465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3554D1FF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208EC2C" w14:textId="77777777" w:rsidR="00FF560D" w:rsidRDefault="00FF560D" w:rsidP="004573AE"/>
        </w:tc>
        <w:tc>
          <w:tcPr>
            <w:tcW w:w="267" w:type="pct"/>
            <w:shd w:val="clear" w:color="auto" w:fill="auto"/>
          </w:tcPr>
          <w:p w14:paraId="7B5900DD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208316EC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6013204B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58CABECD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7506AB57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BE825E3" w14:textId="77777777" w:rsidR="00FF560D" w:rsidRDefault="00FF560D" w:rsidP="004573AE"/>
        </w:tc>
      </w:tr>
      <w:tr w:rsidR="00FF560D" w14:paraId="7E8FE5E0" w14:textId="77777777" w:rsidTr="004573AE">
        <w:trPr>
          <w:trHeight w:val="251"/>
        </w:trPr>
        <w:tc>
          <w:tcPr>
            <w:tcW w:w="1878" w:type="pct"/>
            <w:shd w:val="clear" w:color="auto" w:fill="auto"/>
          </w:tcPr>
          <w:p w14:paraId="55F448AA" w14:textId="77777777" w:rsidR="00FF560D" w:rsidRDefault="00FF560D" w:rsidP="004573AE"/>
        </w:tc>
        <w:tc>
          <w:tcPr>
            <w:tcW w:w="176" w:type="pct"/>
            <w:shd w:val="clear" w:color="auto" w:fill="auto"/>
          </w:tcPr>
          <w:p w14:paraId="179487BD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3828194E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755F8F4A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6E08EE6F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67B00F88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6850D44F" w14:textId="77777777" w:rsidR="00FF560D" w:rsidRDefault="00FF560D" w:rsidP="004573AE"/>
        </w:tc>
        <w:tc>
          <w:tcPr>
            <w:tcW w:w="267" w:type="pct"/>
            <w:shd w:val="clear" w:color="auto" w:fill="auto"/>
          </w:tcPr>
          <w:p w14:paraId="7FEDB6DC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5D8CFFCB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053E01EA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36DC2874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3708B7B1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647BDB10" w14:textId="77777777" w:rsidR="00FF560D" w:rsidRDefault="00FF560D" w:rsidP="004573AE"/>
        </w:tc>
      </w:tr>
      <w:tr w:rsidR="00FF560D" w14:paraId="39D17E7C" w14:textId="77777777" w:rsidTr="004573AE">
        <w:trPr>
          <w:trHeight w:val="251"/>
        </w:trPr>
        <w:tc>
          <w:tcPr>
            <w:tcW w:w="1878" w:type="pct"/>
            <w:shd w:val="clear" w:color="auto" w:fill="auto"/>
          </w:tcPr>
          <w:p w14:paraId="7172C63F" w14:textId="77777777" w:rsidR="00FF560D" w:rsidRDefault="00FF560D" w:rsidP="004573AE">
            <w:r>
              <w:t>Check all Payable Invoices for last month are in the computer</w:t>
            </w:r>
          </w:p>
        </w:tc>
        <w:tc>
          <w:tcPr>
            <w:tcW w:w="176" w:type="pct"/>
            <w:shd w:val="clear" w:color="auto" w:fill="auto"/>
          </w:tcPr>
          <w:p w14:paraId="5B2C5319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4E7CDBCB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2708E24D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ADE5880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5EF5E6A3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A9DE7A4" w14:textId="77777777" w:rsidR="00FF560D" w:rsidRDefault="00FF560D" w:rsidP="004573AE"/>
        </w:tc>
        <w:tc>
          <w:tcPr>
            <w:tcW w:w="267" w:type="pct"/>
            <w:shd w:val="clear" w:color="auto" w:fill="auto"/>
          </w:tcPr>
          <w:p w14:paraId="36CC2BB0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51B4BFC0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E2D0729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407884A4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6A854BC3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6B85CEC" w14:textId="77777777" w:rsidR="00FF560D" w:rsidRDefault="00FF560D" w:rsidP="004573AE"/>
        </w:tc>
      </w:tr>
      <w:tr w:rsidR="00FF560D" w14:paraId="4AE30773" w14:textId="77777777" w:rsidTr="004573AE">
        <w:trPr>
          <w:trHeight w:val="251"/>
        </w:trPr>
        <w:tc>
          <w:tcPr>
            <w:tcW w:w="1878" w:type="pct"/>
            <w:shd w:val="clear" w:color="auto" w:fill="auto"/>
          </w:tcPr>
          <w:p w14:paraId="34EE3017" w14:textId="77777777" w:rsidR="00FF560D" w:rsidRDefault="00FF560D" w:rsidP="004573AE">
            <w:r>
              <w:t>Reconcile the supplier statement with our records.</w:t>
            </w:r>
          </w:p>
        </w:tc>
        <w:tc>
          <w:tcPr>
            <w:tcW w:w="176" w:type="pct"/>
            <w:shd w:val="clear" w:color="auto" w:fill="auto"/>
          </w:tcPr>
          <w:p w14:paraId="30B7C26A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4AA311B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602A8F0E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5BBEF968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4872E525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7ACD9886" w14:textId="77777777" w:rsidR="00FF560D" w:rsidRDefault="00FF560D" w:rsidP="004573AE"/>
        </w:tc>
        <w:tc>
          <w:tcPr>
            <w:tcW w:w="267" w:type="pct"/>
            <w:shd w:val="clear" w:color="auto" w:fill="auto"/>
          </w:tcPr>
          <w:p w14:paraId="3C6155F3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7D2B1C1F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79E2D116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0D7C34B4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70FE8CAB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70676D8F" w14:textId="77777777" w:rsidR="00FF560D" w:rsidRDefault="00FF560D" w:rsidP="004573AE"/>
        </w:tc>
      </w:tr>
      <w:tr w:rsidR="00FF560D" w14:paraId="043DBAFF" w14:textId="77777777" w:rsidTr="004573AE">
        <w:trPr>
          <w:trHeight w:val="251"/>
        </w:trPr>
        <w:tc>
          <w:tcPr>
            <w:tcW w:w="1878" w:type="pct"/>
            <w:shd w:val="clear" w:color="auto" w:fill="auto"/>
          </w:tcPr>
          <w:p w14:paraId="02A1B467" w14:textId="77777777" w:rsidR="00FF560D" w:rsidRDefault="00FF560D" w:rsidP="004573AE">
            <w:r>
              <w:t>Review and check Delivery notes not invoiced</w:t>
            </w:r>
          </w:p>
        </w:tc>
        <w:tc>
          <w:tcPr>
            <w:tcW w:w="176" w:type="pct"/>
            <w:shd w:val="clear" w:color="auto" w:fill="auto"/>
          </w:tcPr>
          <w:p w14:paraId="10927CEE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5ECF8210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59BD9B38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59F89367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303BAB03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7C1C6EB3" w14:textId="77777777" w:rsidR="00FF560D" w:rsidRDefault="00FF560D" w:rsidP="004573AE"/>
        </w:tc>
        <w:tc>
          <w:tcPr>
            <w:tcW w:w="267" w:type="pct"/>
            <w:shd w:val="clear" w:color="auto" w:fill="auto"/>
          </w:tcPr>
          <w:p w14:paraId="69CFB658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60934EC5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0E41BEA0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0B3AB88D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66C6A414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6D918F92" w14:textId="77777777" w:rsidR="00FF560D" w:rsidRDefault="00FF560D" w:rsidP="004573AE"/>
        </w:tc>
      </w:tr>
      <w:tr w:rsidR="00FF560D" w14:paraId="4C2E5F11" w14:textId="77777777" w:rsidTr="004573AE">
        <w:trPr>
          <w:trHeight w:val="251"/>
        </w:trPr>
        <w:tc>
          <w:tcPr>
            <w:tcW w:w="1878" w:type="pct"/>
            <w:shd w:val="clear" w:color="auto" w:fill="auto"/>
          </w:tcPr>
          <w:p w14:paraId="4F3B6BED" w14:textId="77777777" w:rsidR="00FF560D" w:rsidRDefault="00FF560D" w:rsidP="004573AE">
            <w:r>
              <w:t>Review and chase up Credit note requests</w:t>
            </w:r>
          </w:p>
        </w:tc>
        <w:tc>
          <w:tcPr>
            <w:tcW w:w="176" w:type="pct"/>
            <w:shd w:val="clear" w:color="auto" w:fill="auto"/>
          </w:tcPr>
          <w:p w14:paraId="35A85224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5641043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3AD0A45F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713E95AB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0900B411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7B0895DD" w14:textId="77777777" w:rsidR="00FF560D" w:rsidRDefault="00FF560D" w:rsidP="004573AE"/>
        </w:tc>
        <w:tc>
          <w:tcPr>
            <w:tcW w:w="267" w:type="pct"/>
            <w:shd w:val="clear" w:color="auto" w:fill="auto"/>
          </w:tcPr>
          <w:p w14:paraId="136A2724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6A6C3A43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5504004B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58C22ED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3C24A43B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64BD45DF" w14:textId="77777777" w:rsidR="00FF560D" w:rsidRDefault="00FF560D" w:rsidP="004573AE"/>
        </w:tc>
      </w:tr>
      <w:tr w:rsidR="00FF560D" w14:paraId="4405F794" w14:textId="77777777" w:rsidTr="004573AE">
        <w:trPr>
          <w:trHeight w:val="251"/>
        </w:trPr>
        <w:tc>
          <w:tcPr>
            <w:tcW w:w="1878" w:type="pct"/>
            <w:shd w:val="clear" w:color="auto" w:fill="auto"/>
          </w:tcPr>
          <w:p w14:paraId="2A01EDF6" w14:textId="77777777" w:rsidR="00FF560D" w:rsidRDefault="00FF560D" w:rsidP="004573AE">
            <w:r>
              <w:t>Close Payable Month (16th)</w:t>
            </w:r>
          </w:p>
        </w:tc>
        <w:tc>
          <w:tcPr>
            <w:tcW w:w="176" w:type="pct"/>
            <w:shd w:val="clear" w:color="auto" w:fill="auto"/>
          </w:tcPr>
          <w:p w14:paraId="2712C797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67FC1CD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3E3A9610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689BAD51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3754DD89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4DC393D4" w14:textId="77777777" w:rsidR="00FF560D" w:rsidRDefault="00FF560D" w:rsidP="004573AE"/>
        </w:tc>
        <w:tc>
          <w:tcPr>
            <w:tcW w:w="267" w:type="pct"/>
            <w:shd w:val="clear" w:color="auto" w:fill="auto"/>
          </w:tcPr>
          <w:p w14:paraId="630B1BA8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3C30EE99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3C3E3302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39379BE2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256403DF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08F54287" w14:textId="77777777" w:rsidR="00FF560D" w:rsidRDefault="00FF560D" w:rsidP="004573AE"/>
        </w:tc>
      </w:tr>
      <w:tr w:rsidR="00FF560D" w14:paraId="03A00BDC" w14:textId="77777777" w:rsidTr="004573AE">
        <w:trPr>
          <w:trHeight w:val="251"/>
        </w:trPr>
        <w:tc>
          <w:tcPr>
            <w:tcW w:w="1878" w:type="pct"/>
            <w:shd w:val="clear" w:color="auto" w:fill="auto"/>
          </w:tcPr>
          <w:p w14:paraId="33F7CDFF" w14:textId="6B7ED7D8" w:rsidR="00FF560D" w:rsidRDefault="00FF560D" w:rsidP="004573AE">
            <w:r>
              <w:t xml:space="preserve">Select the payable option “Exchange Rate Variation” for the month just closed.  (This is only required it you are running </w:t>
            </w:r>
            <w:proofErr w:type="spellStart"/>
            <w:r>
              <w:t>multi currency</w:t>
            </w:r>
            <w:proofErr w:type="spellEnd"/>
            <w:r>
              <w:t xml:space="preserve"> payables)</w:t>
            </w:r>
          </w:p>
        </w:tc>
        <w:tc>
          <w:tcPr>
            <w:tcW w:w="176" w:type="pct"/>
            <w:shd w:val="clear" w:color="auto" w:fill="auto"/>
          </w:tcPr>
          <w:p w14:paraId="44A67253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407CA6F4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091DBF74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55466C54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09B6AC49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3FFC10DC" w14:textId="77777777" w:rsidR="00FF560D" w:rsidRDefault="00FF560D" w:rsidP="004573AE"/>
        </w:tc>
        <w:tc>
          <w:tcPr>
            <w:tcW w:w="267" w:type="pct"/>
            <w:shd w:val="clear" w:color="auto" w:fill="auto"/>
          </w:tcPr>
          <w:p w14:paraId="441FA56F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0D1A612E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480ECA9F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7A801657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EE60CFB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7A8CB8F2" w14:textId="77777777" w:rsidR="00FF560D" w:rsidRDefault="00FF560D" w:rsidP="004573AE"/>
        </w:tc>
      </w:tr>
      <w:tr w:rsidR="00FF560D" w14:paraId="7E174CFC" w14:textId="77777777" w:rsidTr="004573AE">
        <w:trPr>
          <w:trHeight w:val="251"/>
        </w:trPr>
        <w:tc>
          <w:tcPr>
            <w:tcW w:w="1878" w:type="pct"/>
            <w:shd w:val="clear" w:color="auto" w:fill="auto"/>
          </w:tcPr>
          <w:p w14:paraId="2DF3B8C9" w14:textId="77777777" w:rsidR="00FF560D" w:rsidRDefault="00FF560D" w:rsidP="004573AE"/>
        </w:tc>
        <w:tc>
          <w:tcPr>
            <w:tcW w:w="176" w:type="pct"/>
            <w:shd w:val="clear" w:color="auto" w:fill="auto"/>
          </w:tcPr>
          <w:p w14:paraId="7A04C3E5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23DC0FF8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4C5D6699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3635DCB1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4B60355C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44EBFA11" w14:textId="77777777" w:rsidR="00FF560D" w:rsidRDefault="00FF560D" w:rsidP="004573AE"/>
        </w:tc>
        <w:tc>
          <w:tcPr>
            <w:tcW w:w="267" w:type="pct"/>
            <w:shd w:val="clear" w:color="auto" w:fill="auto"/>
          </w:tcPr>
          <w:p w14:paraId="2BE52A61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1979AAA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001533EB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48756EC6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5C2788CE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73B83D5F" w14:textId="77777777" w:rsidR="00FF560D" w:rsidRDefault="00FF560D" w:rsidP="004573AE"/>
        </w:tc>
      </w:tr>
      <w:tr w:rsidR="00FF560D" w14:paraId="7B5D867E" w14:textId="77777777" w:rsidTr="004573AE">
        <w:trPr>
          <w:trHeight w:val="251"/>
        </w:trPr>
        <w:tc>
          <w:tcPr>
            <w:tcW w:w="1878" w:type="pct"/>
            <w:shd w:val="clear" w:color="auto" w:fill="auto"/>
          </w:tcPr>
          <w:p w14:paraId="5EF159E7" w14:textId="77777777" w:rsidR="00FF560D" w:rsidRDefault="00FF560D" w:rsidP="004573AE">
            <w:r>
              <w:t>Check and review branch stock transfers</w:t>
            </w:r>
          </w:p>
        </w:tc>
        <w:tc>
          <w:tcPr>
            <w:tcW w:w="176" w:type="pct"/>
            <w:shd w:val="clear" w:color="auto" w:fill="auto"/>
          </w:tcPr>
          <w:p w14:paraId="6C12E495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2BD81706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BF8146D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7346BDF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511B0E6C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60518DB" w14:textId="77777777" w:rsidR="00FF560D" w:rsidRDefault="00FF560D" w:rsidP="004573AE"/>
        </w:tc>
        <w:tc>
          <w:tcPr>
            <w:tcW w:w="267" w:type="pct"/>
            <w:shd w:val="clear" w:color="auto" w:fill="auto"/>
          </w:tcPr>
          <w:p w14:paraId="5C97584F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3523A4DE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3378AE25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37BD7E95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7BADFC5B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5CB73448" w14:textId="77777777" w:rsidR="00FF560D" w:rsidRDefault="00FF560D" w:rsidP="004573AE"/>
        </w:tc>
      </w:tr>
      <w:tr w:rsidR="00FF560D" w14:paraId="6C989154" w14:textId="77777777" w:rsidTr="004573AE">
        <w:trPr>
          <w:trHeight w:val="251"/>
        </w:trPr>
        <w:tc>
          <w:tcPr>
            <w:tcW w:w="1878" w:type="pct"/>
            <w:shd w:val="clear" w:color="auto" w:fill="auto"/>
          </w:tcPr>
          <w:p w14:paraId="4DFD95E5" w14:textId="77777777" w:rsidR="00FF560D" w:rsidRDefault="00FF560D" w:rsidP="004573AE">
            <w:r>
              <w:t>Post All Stock Transfers for the month</w:t>
            </w:r>
          </w:p>
        </w:tc>
        <w:tc>
          <w:tcPr>
            <w:tcW w:w="176" w:type="pct"/>
            <w:shd w:val="clear" w:color="auto" w:fill="auto"/>
          </w:tcPr>
          <w:p w14:paraId="146C516E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A7C9745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38C3EF49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4FBF865B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01922BCD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5FA709AC" w14:textId="77777777" w:rsidR="00FF560D" w:rsidRDefault="00FF560D" w:rsidP="004573AE"/>
        </w:tc>
        <w:tc>
          <w:tcPr>
            <w:tcW w:w="267" w:type="pct"/>
            <w:shd w:val="clear" w:color="auto" w:fill="auto"/>
          </w:tcPr>
          <w:p w14:paraId="262B0027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5AB18FFD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68EDC31C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04630016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65070995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5A077ECE" w14:textId="77777777" w:rsidR="00FF560D" w:rsidRDefault="00FF560D" w:rsidP="004573AE"/>
        </w:tc>
      </w:tr>
      <w:tr w:rsidR="00FF560D" w14:paraId="0D132A6D" w14:textId="77777777" w:rsidTr="004573AE">
        <w:trPr>
          <w:trHeight w:val="251"/>
        </w:trPr>
        <w:tc>
          <w:tcPr>
            <w:tcW w:w="1878" w:type="pct"/>
            <w:shd w:val="clear" w:color="auto" w:fill="auto"/>
          </w:tcPr>
          <w:p w14:paraId="340C4452" w14:textId="77777777" w:rsidR="00FF560D" w:rsidRDefault="00FF560D" w:rsidP="004573AE">
            <w:r>
              <w:t>Close Stock Month (17</w:t>
            </w:r>
            <w:r w:rsidRPr="001F437A">
              <w:rPr>
                <w:vertAlign w:val="superscript"/>
              </w:rPr>
              <w:t>th</w:t>
            </w:r>
            <w:r>
              <w:t>)</w:t>
            </w:r>
          </w:p>
        </w:tc>
        <w:tc>
          <w:tcPr>
            <w:tcW w:w="176" w:type="pct"/>
            <w:shd w:val="clear" w:color="auto" w:fill="auto"/>
          </w:tcPr>
          <w:p w14:paraId="55A5BA8E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51F2BF56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68A339B4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58E9AB12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754B4F9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27AF695C" w14:textId="77777777" w:rsidR="00FF560D" w:rsidRDefault="00FF560D" w:rsidP="004573AE"/>
        </w:tc>
        <w:tc>
          <w:tcPr>
            <w:tcW w:w="267" w:type="pct"/>
            <w:shd w:val="clear" w:color="auto" w:fill="auto"/>
          </w:tcPr>
          <w:p w14:paraId="0F69AB0B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63D37672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4273EF1F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74A94DD4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E1BA87E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261BA199" w14:textId="77777777" w:rsidR="00FF560D" w:rsidRDefault="00FF560D" w:rsidP="004573AE"/>
        </w:tc>
      </w:tr>
      <w:tr w:rsidR="00FF560D" w14:paraId="56BF02F6" w14:textId="77777777" w:rsidTr="004573AE">
        <w:trPr>
          <w:trHeight w:val="251"/>
        </w:trPr>
        <w:tc>
          <w:tcPr>
            <w:tcW w:w="1878" w:type="pct"/>
            <w:shd w:val="clear" w:color="auto" w:fill="auto"/>
          </w:tcPr>
          <w:p w14:paraId="334F41C9" w14:textId="77777777" w:rsidR="00FF560D" w:rsidRDefault="00FF560D" w:rsidP="004573AE"/>
        </w:tc>
        <w:tc>
          <w:tcPr>
            <w:tcW w:w="176" w:type="pct"/>
            <w:shd w:val="clear" w:color="auto" w:fill="auto"/>
          </w:tcPr>
          <w:p w14:paraId="029B799D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21953B5A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7512B1D4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693D0374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64BA79A4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60D9761F" w14:textId="77777777" w:rsidR="00FF560D" w:rsidRDefault="00FF560D" w:rsidP="004573AE"/>
        </w:tc>
        <w:tc>
          <w:tcPr>
            <w:tcW w:w="267" w:type="pct"/>
            <w:shd w:val="clear" w:color="auto" w:fill="auto"/>
          </w:tcPr>
          <w:p w14:paraId="11957289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2D579B22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4E72505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0283F71A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BAB6276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8ECFD52" w14:textId="77777777" w:rsidR="00FF560D" w:rsidRDefault="00FF560D" w:rsidP="004573AE"/>
        </w:tc>
      </w:tr>
      <w:tr w:rsidR="00FF560D" w14:paraId="1CD22500" w14:textId="77777777" w:rsidTr="004573AE">
        <w:trPr>
          <w:trHeight w:val="251"/>
        </w:trPr>
        <w:tc>
          <w:tcPr>
            <w:tcW w:w="1878" w:type="pct"/>
            <w:shd w:val="clear" w:color="auto" w:fill="auto"/>
          </w:tcPr>
          <w:p w14:paraId="78E17ED7" w14:textId="77777777" w:rsidR="00FF560D" w:rsidRDefault="00FF560D" w:rsidP="004573AE">
            <w:r>
              <w:t>Check the Fixed Assets / purchased or sold account is zero.  (This is the fixed asset clearing account)</w:t>
            </w:r>
          </w:p>
        </w:tc>
        <w:tc>
          <w:tcPr>
            <w:tcW w:w="176" w:type="pct"/>
            <w:shd w:val="clear" w:color="auto" w:fill="auto"/>
          </w:tcPr>
          <w:p w14:paraId="7DCBF863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504D897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75F5DE9C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746A0AFE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2334AA16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366DD28D" w14:textId="77777777" w:rsidR="00FF560D" w:rsidRDefault="00FF560D" w:rsidP="004573AE"/>
        </w:tc>
        <w:tc>
          <w:tcPr>
            <w:tcW w:w="267" w:type="pct"/>
            <w:shd w:val="clear" w:color="auto" w:fill="auto"/>
          </w:tcPr>
          <w:p w14:paraId="2E334CC8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01155B2B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2B57312D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4B0659CC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4DAFD345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6D48CC4A" w14:textId="77777777" w:rsidR="00FF560D" w:rsidRDefault="00FF560D" w:rsidP="004573AE"/>
        </w:tc>
      </w:tr>
      <w:tr w:rsidR="00FF560D" w14:paraId="003C9FCC" w14:textId="77777777" w:rsidTr="004573AE">
        <w:trPr>
          <w:trHeight w:val="251"/>
        </w:trPr>
        <w:tc>
          <w:tcPr>
            <w:tcW w:w="1878" w:type="pct"/>
            <w:shd w:val="clear" w:color="auto" w:fill="auto"/>
          </w:tcPr>
          <w:p w14:paraId="44E23D0D" w14:textId="77777777" w:rsidR="00FF560D" w:rsidRDefault="00FF560D" w:rsidP="004573AE">
            <w:r>
              <w:t>Close the Fixed Asset Month.</w:t>
            </w:r>
          </w:p>
        </w:tc>
        <w:tc>
          <w:tcPr>
            <w:tcW w:w="176" w:type="pct"/>
            <w:shd w:val="clear" w:color="auto" w:fill="auto"/>
          </w:tcPr>
          <w:p w14:paraId="364D0393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438EEECD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5D6C047D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3F51D55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3D730B43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0183EAD3" w14:textId="77777777" w:rsidR="00FF560D" w:rsidRDefault="00FF560D" w:rsidP="004573AE"/>
        </w:tc>
        <w:tc>
          <w:tcPr>
            <w:tcW w:w="267" w:type="pct"/>
            <w:shd w:val="clear" w:color="auto" w:fill="auto"/>
          </w:tcPr>
          <w:p w14:paraId="3CD46031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3A7B12D7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E8E9BA6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5FF5E51A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77630051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2C101684" w14:textId="77777777" w:rsidR="00FF560D" w:rsidRDefault="00FF560D" w:rsidP="004573AE"/>
        </w:tc>
      </w:tr>
      <w:tr w:rsidR="00FF560D" w14:paraId="7086410F" w14:textId="77777777" w:rsidTr="004573AE">
        <w:trPr>
          <w:trHeight w:val="251"/>
        </w:trPr>
        <w:tc>
          <w:tcPr>
            <w:tcW w:w="1878" w:type="pct"/>
            <w:shd w:val="clear" w:color="auto" w:fill="auto"/>
          </w:tcPr>
          <w:p w14:paraId="30CB006B" w14:textId="77777777" w:rsidR="00FF560D" w:rsidRDefault="00FF560D" w:rsidP="004573AE"/>
        </w:tc>
        <w:tc>
          <w:tcPr>
            <w:tcW w:w="176" w:type="pct"/>
            <w:shd w:val="clear" w:color="auto" w:fill="auto"/>
          </w:tcPr>
          <w:p w14:paraId="76DBE242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6C8400F3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F25579A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769E6304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354999DF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63A0DEF2" w14:textId="77777777" w:rsidR="00FF560D" w:rsidRDefault="00FF560D" w:rsidP="004573AE"/>
        </w:tc>
        <w:tc>
          <w:tcPr>
            <w:tcW w:w="267" w:type="pct"/>
            <w:shd w:val="clear" w:color="auto" w:fill="auto"/>
          </w:tcPr>
          <w:p w14:paraId="2D95C913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664FAB9A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9771AA6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094614C5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60978176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2F4E790A" w14:textId="77777777" w:rsidR="00FF560D" w:rsidRDefault="00FF560D" w:rsidP="004573AE"/>
        </w:tc>
      </w:tr>
      <w:tr w:rsidR="00FF560D" w14:paraId="2D3D7209" w14:textId="77777777" w:rsidTr="004573AE">
        <w:trPr>
          <w:trHeight w:val="251"/>
        </w:trPr>
        <w:tc>
          <w:tcPr>
            <w:tcW w:w="1878" w:type="pct"/>
            <w:shd w:val="clear" w:color="auto" w:fill="auto"/>
          </w:tcPr>
          <w:p w14:paraId="697AC0C7" w14:textId="77777777" w:rsidR="00FF560D" w:rsidRDefault="00FF560D" w:rsidP="004573AE">
            <w:r>
              <w:t>Manage / Pay Accounts suppliers (20th, 25th, 30th).  Create the cash book payment details…</w:t>
            </w:r>
          </w:p>
        </w:tc>
        <w:tc>
          <w:tcPr>
            <w:tcW w:w="176" w:type="pct"/>
            <w:shd w:val="clear" w:color="auto" w:fill="auto"/>
          </w:tcPr>
          <w:p w14:paraId="25427487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017D178B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36FCE153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E5CFEFA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70AE893F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72D41A37" w14:textId="77777777" w:rsidR="00FF560D" w:rsidRDefault="00FF560D" w:rsidP="004573AE"/>
        </w:tc>
        <w:tc>
          <w:tcPr>
            <w:tcW w:w="267" w:type="pct"/>
            <w:shd w:val="clear" w:color="auto" w:fill="auto"/>
          </w:tcPr>
          <w:p w14:paraId="4DFE9236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3A3C008D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2AEE0062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07917D4E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7380DAAC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3151E14F" w14:textId="77777777" w:rsidR="00FF560D" w:rsidRDefault="00FF560D" w:rsidP="004573AE"/>
        </w:tc>
      </w:tr>
      <w:tr w:rsidR="00FF560D" w14:paraId="221AF660" w14:textId="77777777" w:rsidTr="004573AE">
        <w:trPr>
          <w:trHeight w:val="251"/>
        </w:trPr>
        <w:tc>
          <w:tcPr>
            <w:tcW w:w="1878" w:type="pct"/>
            <w:shd w:val="clear" w:color="auto" w:fill="auto"/>
          </w:tcPr>
          <w:p w14:paraId="294C910C" w14:textId="77777777" w:rsidR="00FF560D" w:rsidRDefault="00FF560D" w:rsidP="004573AE">
            <w:r>
              <w:t>Manage, calculate and pay GST</w:t>
            </w:r>
          </w:p>
        </w:tc>
        <w:tc>
          <w:tcPr>
            <w:tcW w:w="176" w:type="pct"/>
            <w:shd w:val="clear" w:color="auto" w:fill="auto"/>
          </w:tcPr>
          <w:p w14:paraId="796541A9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3C94FB76" w14:textId="77777777" w:rsidR="00FF560D" w:rsidRDefault="00FF560D" w:rsidP="004573AE">
            <w:r>
              <w:t>X</w:t>
            </w:r>
          </w:p>
        </w:tc>
        <w:tc>
          <w:tcPr>
            <w:tcW w:w="268" w:type="pct"/>
            <w:shd w:val="clear" w:color="auto" w:fill="auto"/>
          </w:tcPr>
          <w:p w14:paraId="3A7FBC81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516F6426" w14:textId="77777777" w:rsidR="00FF560D" w:rsidRDefault="00FF560D" w:rsidP="004573AE">
            <w:r>
              <w:t>X</w:t>
            </w:r>
          </w:p>
        </w:tc>
        <w:tc>
          <w:tcPr>
            <w:tcW w:w="268" w:type="pct"/>
            <w:shd w:val="clear" w:color="auto" w:fill="auto"/>
          </w:tcPr>
          <w:p w14:paraId="3961E3FE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7B74471C" w14:textId="77777777" w:rsidR="00FF560D" w:rsidRDefault="00FF560D" w:rsidP="004573AE">
            <w:r>
              <w:t>X</w:t>
            </w:r>
          </w:p>
        </w:tc>
        <w:tc>
          <w:tcPr>
            <w:tcW w:w="267" w:type="pct"/>
            <w:shd w:val="clear" w:color="auto" w:fill="auto"/>
          </w:tcPr>
          <w:p w14:paraId="36D8F415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3C18ADA9" w14:textId="77777777" w:rsidR="00FF560D" w:rsidRDefault="00FF560D" w:rsidP="004573AE">
            <w:r>
              <w:t>X</w:t>
            </w:r>
          </w:p>
        </w:tc>
        <w:tc>
          <w:tcPr>
            <w:tcW w:w="268" w:type="pct"/>
            <w:shd w:val="clear" w:color="auto" w:fill="auto"/>
          </w:tcPr>
          <w:p w14:paraId="19CAF2AE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9CCBF3A" w14:textId="77777777" w:rsidR="00FF560D" w:rsidRDefault="00FF560D" w:rsidP="004573AE">
            <w:r>
              <w:t>X</w:t>
            </w:r>
          </w:p>
        </w:tc>
        <w:tc>
          <w:tcPr>
            <w:tcW w:w="268" w:type="pct"/>
            <w:shd w:val="clear" w:color="auto" w:fill="auto"/>
          </w:tcPr>
          <w:p w14:paraId="5ED0C885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0AA975DB" w14:textId="77777777" w:rsidR="00FF560D" w:rsidRDefault="00FF560D" w:rsidP="004573AE">
            <w:r>
              <w:t>X</w:t>
            </w:r>
          </w:p>
        </w:tc>
      </w:tr>
      <w:tr w:rsidR="00FF560D" w14:paraId="65BCDEB5" w14:textId="77777777" w:rsidTr="004573AE">
        <w:trPr>
          <w:trHeight w:val="251"/>
        </w:trPr>
        <w:tc>
          <w:tcPr>
            <w:tcW w:w="1878" w:type="pct"/>
            <w:shd w:val="clear" w:color="auto" w:fill="auto"/>
          </w:tcPr>
          <w:p w14:paraId="7F6A93F8" w14:textId="77777777" w:rsidR="00FF560D" w:rsidRDefault="00FF560D" w:rsidP="004573AE">
            <w:r>
              <w:t>Print Year End Reports</w:t>
            </w:r>
          </w:p>
        </w:tc>
        <w:tc>
          <w:tcPr>
            <w:tcW w:w="176" w:type="pct"/>
            <w:shd w:val="clear" w:color="auto" w:fill="auto"/>
          </w:tcPr>
          <w:p w14:paraId="36BB7BCB" w14:textId="77777777" w:rsidR="00FF560D" w:rsidRDefault="00FF560D" w:rsidP="004573AE">
            <w:r>
              <w:t>X</w:t>
            </w:r>
          </w:p>
        </w:tc>
        <w:tc>
          <w:tcPr>
            <w:tcW w:w="268" w:type="pct"/>
            <w:shd w:val="clear" w:color="auto" w:fill="auto"/>
          </w:tcPr>
          <w:p w14:paraId="5188E766" w14:textId="77777777" w:rsidR="00FF560D" w:rsidRDefault="00FF560D" w:rsidP="004573AE">
            <w:r>
              <w:t>X</w:t>
            </w:r>
          </w:p>
        </w:tc>
        <w:tc>
          <w:tcPr>
            <w:tcW w:w="268" w:type="pct"/>
            <w:shd w:val="clear" w:color="auto" w:fill="auto"/>
          </w:tcPr>
          <w:p w14:paraId="0C2206EE" w14:textId="77777777" w:rsidR="00FF560D" w:rsidRDefault="00FF560D" w:rsidP="004573AE">
            <w:r>
              <w:t>X</w:t>
            </w:r>
          </w:p>
        </w:tc>
        <w:tc>
          <w:tcPr>
            <w:tcW w:w="268" w:type="pct"/>
            <w:shd w:val="clear" w:color="auto" w:fill="auto"/>
          </w:tcPr>
          <w:p w14:paraId="107087E5" w14:textId="77777777" w:rsidR="00FF560D" w:rsidRDefault="00FF560D" w:rsidP="004573AE">
            <w:r>
              <w:t>X</w:t>
            </w:r>
          </w:p>
        </w:tc>
        <w:tc>
          <w:tcPr>
            <w:tcW w:w="268" w:type="pct"/>
            <w:shd w:val="clear" w:color="auto" w:fill="auto"/>
          </w:tcPr>
          <w:p w14:paraId="481A0ED8" w14:textId="77777777" w:rsidR="00FF560D" w:rsidRDefault="00FF560D" w:rsidP="004573AE">
            <w:r>
              <w:t>X</w:t>
            </w:r>
          </w:p>
        </w:tc>
        <w:tc>
          <w:tcPr>
            <w:tcW w:w="268" w:type="pct"/>
            <w:shd w:val="clear" w:color="auto" w:fill="auto"/>
          </w:tcPr>
          <w:p w14:paraId="2AB84638" w14:textId="77777777" w:rsidR="00FF560D" w:rsidRDefault="00FF560D" w:rsidP="004573AE">
            <w:r>
              <w:t>X</w:t>
            </w:r>
          </w:p>
        </w:tc>
        <w:tc>
          <w:tcPr>
            <w:tcW w:w="267" w:type="pct"/>
            <w:shd w:val="clear" w:color="auto" w:fill="auto"/>
          </w:tcPr>
          <w:p w14:paraId="7A6A8C56" w14:textId="77777777" w:rsidR="00FF560D" w:rsidRDefault="00FF560D" w:rsidP="004573AE">
            <w:r>
              <w:t>X</w:t>
            </w:r>
          </w:p>
        </w:tc>
        <w:tc>
          <w:tcPr>
            <w:tcW w:w="268" w:type="pct"/>
            <w:shd w:val="clear" w:color="auto" w:fill="auto"/>
          </w:tcPr>
          <w:p w14:paraId="6496AFB5" w14:textId="77777777" w:rsidR="00FF560D" w:rsidRDefault="00FF560D" w:rsidP="004573AE">
            <w:r>
              <w:t>X</w:t>
            </w:r>
          </w:p>
        </w:tc>
        <w:tc>
          <w:tcPr>
            <w:tcW w:w="268" w:type="pct"/>
            <w:shd w:val="clear" w:color="auto" w:fill="auto"/>
          </w:tcPr>
          <w:p w14:paraId="03DFA553" w14:textId="77777777" w:rsidR="00FF560D" w:rsidRDefault="00FF560D" w:rsidP="004573AE">
            <w:r>
              <w:t>X</w:t>
            </w:r>
          </w:p>
        </w:tc>
        <w:tc>
          <w:tcPr>
            <w:tcW w:w="268" w:type="pct"/>
            <w:shd w:val="clear" w:color="auto" w:fill="auto"/>
          </w:tcPr>
          <w:p w14:paraId="35D60A37" w14:textId="77777777" w:rsidR="00FF560D" w:rsidRDefault="00FF560D" w:rsidP="004573AE">
            <w:r>
              <w:t>X</w:t>
            </w:r>
          </w:p>
        </w:tc>
        <w:tc>
          <w:tcPr>
            <w:tcW w:w="268" w:type="pct"/>
            <w:shd w:val="clear" w:color="auto" w:fill="auto"/>
          </w:tcPr>
          <w:p w14:paraId="6F52A822" w14:textId="77777777" w:rsidR="00FF560D" w:rsidRDefault="00FF560D" w:rsidP="004573AE">
            <w:r>
              <w:t>X</w:t>
            </w:r>
          </w:p>
        </w:tc>
        <w:tc>
          <w:tcPr>
            <w:tcW w:w="268" w:type="pct"/>
            <w:shd w:val="clear" w:color="auto" w:fill="auto"/>
          </w:tcPr>
          <w:p w14:paraId="51091D7B" w14:textId="77777777" w:rsidR="00FF560D" w:rsidRDefault="00FF560D" w:rsidP="004573AE"/>
        </w:tc>
      </w:tr>
      <w:tr w:rsidR="00FF560D" w14:paraId="37E9F9B8" w14:textId="77777777" w:rsidTr="004573AE">
        <w:trPr>
          <w:trHeight w:val="251"/>
        </w:trPr>
        <w:tc>
          <w:tcPr>
            <w:tcW w:w="1878" w:type="pct"/>
            <w:shd w:val="clear" w:color="auto" w:fill="auto"/>
          </w:tcPr>
          <w:p w14:paraId="19B8BC98" w14:textId="77777777" w:rsidR="00FF560D" w:rsidRDefault="00FF560D" w:rsidP="004573AE">
            <w:r>
              <w:t>Close General Ledger Month</w:t>
            </w:r>
          </w:p>
        </w:tc>
        <w:tc>
          <w:tcPr>
            <w:tcW w:w="176" w:type="pct"/>
            <w:shd w:val="clear" w:color="auto" w:fill="auto"/>
          </w:tcPr>
          <w:p w14:paraId="5F27C9D7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47726E8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3A1C580A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6C6A5597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46627984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4ADC99F0" w14:textId="77777777" w:rsidR="00FF560D" w:rsidRDefault="00FF560D" w:rsidP="004573AE"/>
        </w:tc>
        <w:tc>
          <w:tcPr>
            <w:tcW w:w="267" w:type="pct"/>
            <w:shd w:val="clear" w:color="auto" w:fill="auto"/>
          </w:tcPr>
          <w:p w14:paraId="0C0A75FD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085D30AC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7A20EE14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5C5A6CED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4119D16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02C4186F" w14:textId="77777777" w:rsidR="00FF560D" w:rsidRDefault="00FF560D" w:rsidP="004573AE"/>
        </w:tc>
      </w:tr>
      <w:tr w:rsidR="00FF560D" w14:paraId="1987D8CD" w14:textId="77777777" w:rsidTr="004573AE">
        <w:trPr>
          <w:trHeight w:val="251"/>
        </w:trPr>
        <w:tc>
          <w:tcPr>
            <w:tcW w:w="1878" w:type="pct"/>
            <w:shd w:val="clear" w:color="auto" w:fill="auto"/>
          </w:tcPr>
          <w:p w14:paraId="261DE5CF" w14:textId="475D102B" w:rsidR="00FF560D" w:rsidRDefault="00FF560D" w:rsidP="004573AE">
            <w:r>
              <w:t xml:space="preserve">Select the Cash Book option “Post Exchange Rate Variation” if you have </w:t>
            </w:r>
            <w:proofErr w:type="spellStart"/>
            <w:r>
              <w:t>multi currency</w:t>
            </w:r>
            <w:proofErr w:type="spellEnd"/>
            <w:r>
              <w:t xml:space="preserve"> bank accounts</w:t>
            </w:r>
          </w:p>
        </w:tc>
        <w:tc>
          <w:tcPr>
            <w:tcW w:w="176" w:type="pct"/>
            <w:shd w:val="clear" w:color="auto" w:fill="auto"/>
          </w:tcPr>
          <w:p w14:paraId="6405F822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540D2A8F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826939B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AF96B1E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6D8F0E26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241EC71C" w14:textId="77777777" w:rsidR="00FF560D" w:rsidRDefault="00FF560D" w:rsidP="004573AE"/>
        </w:tc>
        <w:tc>
          <w:tcPr>
            <w:tcW w:w="267" w:type="pct"/>
            <w:shd w:val="clear" w:color="auto" w:fill="auto"/>
          </w:tcPr>
          <w:p w14:paraId="4BC94806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03DCF9A1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4F615B19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64F09E1B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7DEE4B58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39CD717F" w14:textId="77777777" w:rsidR="00FF560D" w:rsidRDefault="00FF560D" w:rsidP="004573AE"/>
        </w:tc>
      </w:tr>
      <w:tr w:rsidR="00FF560D" w14:paraId="12650C9C" w14:textId="77777777" w:rsidTr="004573AE">
        <w:trPr>
          <w:trHeight w:val="251"/>
        </w:trPr>
        <w:tc>
          <w:tcPr>
            <w:tcW w:w="1878" w:type="pct"/>
            <w:shd w:val="clear" w:color="auto" w:fill="auto"/>
          </w:tcPr>
          <w:p w14:paraId="0B94E4C7" w14:textId="77777777" w:rsidR="00FF560D" w:rsidRDefault="00FF560D" w:rsidP="004573AE">
            <w:r>
              <w:t>Reconcile GL totals to all sub systems. Receivable balances</w:t>
            </w:r>
          </w:p>
        </w:tc>
        <w:tc>
          <w:tcPr>
            <w:tcW w:w="176" w:type="pct"/>
            <w:shd w:val="clear" w:color="auto" w:fill="auto"/>
          </w:tcPr>
          <w:p w14:paraId="6A195186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68597A76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4BBBF994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05626E26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2C2850F1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21B5FCAD" w14:textId="77777777" w:rsidR="00FF560D" w:rsidRDefault="00FF560D" w:rsidP="004573AE"/>
        </w:tc>
        <w:tc>
          <w:tcPr>
            <w:tcW w:w="267" w:type="pct"/>
            <w:shd w:val="clear" w:color="auto" w:fill="auto"/>
          </w:tcPr>
          <w:p w14:paraId="5DAB4B7E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0F7C0807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244CB38F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2D914593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3926DCF6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22F7AAED" w14:textId="77777777" w:rsidR="00FF560D" w:rsidRDefault="00FF560D" w:rsidP="004573AE"/>
        </w:tc>
      </w:tr>
      <w:tr w:rsidR="00FF560D" w14:paraId="5DF7B45F" w14:textId="77777777" w:rsidTr="004573AE">
        <w:trPr>
          <w:trHeight w:val="251"/>
        </w:trPr>
        <w:tc>
          <w:tcPr>
            <w:tcW w:w="1878" w:type="pct"/>
            <w:shd w:val="clear" w:color="auto" w:fill="auto"/>
          </w:tcPr>
          <w:p w14:paraId="49A16D3A" w14:textId="77777777" w:rsidR="00FF560D" w:rsidRDefault="00FF560D" w:rsidP="004573AE">
            <w:r>
              <w:t>Reconcile GL totals to all sub systems. Payable Trial balance</w:t>
            </w:r>
          </w:p>
        </w:tc>
        <w:tc>
          <w:tcPr>
            <w:tcW w:w="176" w:type="pct"/>
            <w:shd w:val="clear" w:color="auto" w:fill="auto"/>
          </w:tcPr>
          <w:p w14:paraId="50E81885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730186F9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CA3E470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567F5868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6E6F5EB4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4190FFD3" w14:textId="77777777" w:rsidR="00FF560D" w:rsidRDefault="00FF560D" w:rsidP="004573AE"/>
        </w:tc>
        <w:tc>
          <w:tcPr>
            <w:tcW w:w="267" w:type="pct"/>
            <w:shd w:val="clear" w:color="auto" w:fill="auto"/>
          </w:tcPr>
          <w:p w14:paraId="72B312CC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5AE51172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20DB2DA4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3729D49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2F08AF8B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7B433FE8" w14:textId="77777777" w:rsidR="00FF560D" w:rsidRDefault="00FF560D" w:rsidP="004573AE"/>
        </w:tc>
      </w:tr>
      <w:tr w:rsidR="00FF560D" w14:paraId="6169218C" w14:textId="77777777" w:rsidTr="004573AE">
        <w:trPr>
          <w:trHeight w:val="251"/>
        </w:trPr>
        <w:tc>
          <w:tcPr>
            <w:tcW w:w="1878" w:type="pct"/>
            <w:shd w:val="clear" w:color="auto" w:fill="auto"/>
          </w:tcPr>
          <w:p w14:paraId="02CF7B8E" w14:textId="77777777" w:rsidR="00FF560D" w:rsidRDefault="00FF560D" w:rsidP="004573AE">
            <w:r>
              <w:t>Reconcile GL totals to all sub systems. Stock</w:t>
            </w:r>
          </w:p>
        </w:tc>
        <w:tc>
          <w:tcPr>
            <w:tcW w:w="176" w:type="pct"/>
            <w:shd w:val="clear" w:color="auto" w:fill="auto"/>
          </w:tcPr>
          <w:p w14:paraId="6CC39E4C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279CADCB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40C4099B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3BB15660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D4B7D44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74114BC1" w14:textId="77777777" w:rsidR="00FF560D" w:rsidRDefault="00FF560D" w:rsidP="004573AE"/>
        </w:tc>
        <w:tc>
          <w:tcPr>
            <w:tcW w:w="267" w:type="pct"/>
            <w:shd w:val="clear" w:color="auto" w:fill="auto"/>
          </w:tcPr>
          <w:p w14:paraId="569411D7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097D4026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25129985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55984122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4D078992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3535862C" w14:textId="77777777" w:rsidR="00FF560D" w:rsidRDefault="00FF560D" w:rsidP="004573AE"/>
        </w:tc>
      </w:tr>
      <w:tr w:rsidR="00FF560D" w14:paraId="1C8824D4" w14:textId="77777777" w:rsidTr="004573AE">
        <w:trPr>
          <w:trHeight w:val="251"/>
        </w:trPr>
        <w:tc>
          <w:tcPr>
            <w:tcW w:w="1878" w:type="pct"/>
            <w:shd w:val="clear" w:color="auto" w:fill="auto"/>
          </w:tcPr>
          <w:p w14:paraId="1938D05A" w14:textId="77777777" w:rsidR="00FF560D" w:rsidRDefault="00FF560D" w:rsidP="004573AE">
            <w:r>
              <w:t>Reconcile GL totals to all sub systems. Cash Book Bank account</w:t>
            </w:r>
          </w:p>
        </w:tc>
        <w:tc>
          <w:tcPr>
            <w:tcW w:w="176" w:type="pct"/>
            <w:shd w:val="clear" w:color="auto" w:fill="auto"/>
          </w:tcPr>
          <w:p w14:paraId="339DD407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48DBE762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37488873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74A76231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546ED767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3B4A6FF2" w14:textId="77777777" w:rsidR="00FF560D" w:rsidRDefault="00FF560D" w:rsidP="004573AE"/>
        </w:tc>
        <w:tc>
          <w:tcPr>
            <w:tcW w:w="267" w:type="pct"/>
            <w:shd w:val="clear" w:color="auto" w:fill="auto"/>
          </w:tcPr>
          <w:p w14:paraId="31B5757A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96885A4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59DBA085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59A9F425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68080382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167B8ACA" w14:textId="77777777" w:rsidR="00FF560D" w:rsidRDefault="00FF560D" w:rsidP="004573AE"/>
        </w:tc>
      </w:tr>
      <w:tr w:rsidR="00FF560D" w14:paraId="4EF03824" w14:textId="77777777" w:rsidTr="004573AE">
        <w:trPr>
          <w:trHeight w:val="251"/>
        </w:trPr>
        <w:tc>
          <w:tcPr>
            <w:tcW w:w="1878" w:type="pct"/>
            <w:shd w:val="clear" w:color="auto" w:fill="auto"/>
          </w:tcPr>
          <w:p w14:paraId="2DF98A65" w14:textId="77777777" w:rsidR="00FF560D" w:rsidRDefault="00FF560D" w:rsidP="004573AE">
            <w:r>
              <w:t>Reconcile GL totals to all sub systems. GST totals</w:t>
            </w:r>
          </w:p>
        </w:tc>
        <w:tc>
          <w:tcPr>
            <w:tcW w:w="176" w:type="pct"/>
            <w:shd w:val="clear" w:color="auto" w:fill="auto"/>
          </w:tcPr>
          <w:p w14:paraId="593F1311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63CB4CDD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0950A463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75BF253B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41043C46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5A891C60" w14:textId="77777777" w:rsidR="00FF560D" w:rsidRDefault="00FF560D" w:rsidP="004573AE"/>
        </w:tc>
        <w:tc>
          <w:tcPr>
            <w:tcW w:w="267" w:type="pct"/>
            <w:shd w:val="clear" w:color="auto" w:fill="auto"/>
          </w:tcPr>
          <w:p w14:paraId="59126BA3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32B8211C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5CDB014B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58CD7715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5D5E3C7D" w14:textId="77777777" w:rsidR="00FF560D" w:rsidRDefault="00FF560D" w:rsidP="004573AE"/>
        </w:tc>
        <w:tc>
          <w:tcPr>
            <w:tcW w:w="268" w:type="pct"/>
            <w:shd w:val="clear" w:color="auto" w:fill="auto"/>
          </w:tcPr>
          <w:p w14:paraId="03437BC7" w14:textId="77777777" w:rsidR="00FF560D" w:rsidRDefault="00FF560D" w:rsidP="004573AE"/>
        </w:tc>
      </w:tr>
    </w:tbl>
    <w:p w14:paraId="70A6956B" w14:textId="54D7C86E" w:rsidR="00FF560D" w:rsidRDefault="00735E4D" w:rsidP="00FF560D">
      <w:r>
        <w:t>E&amp;OE</w:t>
      </w:r>
    </w:p>
    <w:p w14:paraId="4316A703" w14:textId="77777777" w:rsidR="0014572F" w:rsidRDefault="0014572F"/>
    <w:sectPr w:rsidR="0014572F" w:rsidSect="00840E02">
      <w:footerReference w:type="default" r:id="rId7"/>
      <w:headerReference w:type="first" r:id="rId8"/>
      <w:pgSz w:w="23811" w:h="16838" w:orient="landscape" w:code="8"/>
      <w:pgMar w:top="992" w:right="567" w:bottom="992" w:left="567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16CFA" w14:textId="77777777" w:rsidR="00891BC7" w:rsidRDefault="00891BC7">
      <w:r>
        <w:separator/>
      </w:r>
    </w:p>
  </w:endnote>
  <w:endnote w:type="continuationSeparator" w:id="0">
    <w:p w14:paraId="452214B9" w14:textId="77777777" w:rsidR="00891BC7" w:rsidRDefault="00891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908"/>
    </w:tblGrid>
    <w:tr w:rsidR="00C50A81" w14:paraId="6E71C5C0" w14:textId="77777777">
      <w:trPr>
        <w:cantSplit/>
        <w:trHeight w:val="284"/>
      </w:trPr>
      <w:tc>
        <w:tcPr>
          <w:tcW w:w="9908" w:type="dxa"/>
          <w:vAlign w:val="bottom"/>
        </w:tcPr>
        <w:p w14:paraId="0B559CEC" w14:textId="77777777" w:rsidR="00000000" w:rsidRDefault="00FF560D">
          <w:pPr>
            <w:pStyle w:val="Footer"/>
            <w:tabs>
              <w:tab w:val="left" w:pos="180"/>
              <w:tab w:val="center" w:pos="4500"/>
              <w:tab w:val="right" w:pos="9908"/>
            </w:tabs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Private and Confidential</w:t>
          </w:r>
          <w:r>
            <w:rPr>
              <w:rFonts w:cs="Arial"/>
              <w:szCs w:val="16"/>
            </w:rPr>
            <w:tab/>
            <w:t>© Lentune Limited</w:t>
          </w:r>
          <w:r>
            <w:rPr>
              <w:rFonts w:cs="Arial"/>
              <w:szCs w:val="16"/>
            </w:rPr>
            <w:tab/>
            <w:t xml:space="preserve">Page </w:t>
          </w:r>
          <w:r>
            <w:rPr>
              <w:rStyle w:val="PageNumber"/>
              <w:rFonts w:cs="Arial"/>
              <w:szCs w:val="16"/>
            </w:rPr>
            <w:fldChar w:fldCharType="begin"/>
          </w:r>
          <w:r>
            <w:rPr>
              <w:rStyle w:val="PageNumber"/>
              <w:rFonts w:cs="Arial"/>
              <w:szCs w:val="16"/>
            </w:rPr>
            <w:instrText xml:space="preserve"> PAGE </w:instrText>
          </w:r>
          <w:r>
            <w:rPr>
              <w:rStyle w:val="PageNumber"/>
              <w:rFonts w:cs="Arial"/>
              <w:szCs w:val="16"/>
            </w:rPr>
            <w:fldChar w:fldCharType="separate"/>
          </w:r>
          <w:r>
            <w:rPr>
              <w:rStyle w:val="PageNumber"/>
              <w:rFonts w:cs="Arial"/>
              <w:noProof/>
              <w:szCs w:val="16"/>
            </w:rPr>
            <w:t>21</w:t>
          </w:r>
          <w:r>
            <w:rPr>
              <w:rStyle w:val="PageNumber"/>
              <w:rFonts w:cs="Arial"/>
              <w:szCs w:val="16"/>
            </w:rPr>
            <w:fldChar w:fldCharType="end"/>
          </w:r>
          <w:r>
            <w:rPr>
              <w:rStyle w:val="PageNumber"/>
              <w:rFonts w:cs="Arial"/>
              <w:szCs w:val="16"/>
            </w:rPr>
            <w:t xml:space="preserve"> of </w:t>
          </w:r>
          <w:r>
            <w:rPr>
              <w:rStyle w:val="PageNumber"/>
              <w:rFonts w:cs="Arial"/>
              <w:szCs w:val="16"/>
            </w:rPr>
            <w:fldChar w:fldCharType="begin"/>
          </w:r>
          <w:r>
            <w:rPr>
              <w:rStyle w:val="PageNumber"/>
              <w:rFonts w:cs="Arial"/>
              <w:szCs w:val="16"/>
            </w:rPr>
            <w:instrText xml:space="preserve"> NUMPAGES </w:instrText>
          </w:r>
          <w:r>
            <w:rPr>
              <w:rStyle w:val="PageNumber"/>
              <w:rFonts w:cs="Arial"/>
              <w:szCs w:val="16"/>
            </w:rPr>
            <w:fldChar w:fldCharType="separate"/>
          </w:r>
          <w:r>
            <w:rPr>
              <w:rStyle w:val="PageNumber"/>
              <w:rFonts w:cs="Arial"/>
              <w:noProof/>
              <w:szCs w:val="16"/>
            </w:rPr>
            <w:t>41</w:t>
          </w:r>
          <w:r>
            <w:rPr>
              <w:rStyle w:val="PageNumber"/>
              <w:rFonts w:cs="Arial"/>
              <w:szCs w:val="16"/>
            </w:rPr>
            <w:fldChar w:fldCharType="end"/>
          </w:r>
        </w:p>
      </w:tc>
    </w:tr>
  </w:tbl>
  <w:p w14:paraId="1DBC438C" w14:textId="77777777" w:rsidR="00000000" w:rsidRDefault="00000000">
    <w:pPr>
      <w:pStyle w:val="Footer"/>
      <w:tabs>
        <w:tab w:val="left" w:pos="180"/>
        <w:tab w:val="center" w:pos="5040"/>
        <w:tab w:val="right" w:pos="9360"/>
      </w:tabs>
      <w:rPr>
        <w:rStyle w:val="PageNumber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BF601" w14:textId="77777777" w:rsidR="00891BC7" w:rsidRDefault="00891BC7">
      <w:r>
        <w:separator/>
      </w:r>
    </w:p>
  </w:footnote>
  <w:footnote w:type="continuationSeparator" w:id="0">
    <w:p w14:paraId="608571C0" w14:textId="77777777" w:rsidR="00891BC7" w:rsidRDefault="00891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F58A6" w14:textId="21DAC92A" w:rsidR="00735E4D" w:rsidRDefault="00735E4D">
    <w:pPr>
      <w:pStyle w:val="Header"/>
    </w:pPr>
    <w:r>
      <w:rPr>
        <w:noProof/>
      </w:rPr>
      <w:drawing>
        <wp:inline distT="0" distB="0" distL="0" distR="0" wp14:anchorId="61642530" wp14:editId="59F38B39">
          <wp:extent cx="1689315" cy="497457"/>
          <wp:effectExtent l="0" t="0" r="6350" b="0"/>
          <wp:docPr id="1" name="Picture 1" descr="Lent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ntu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2769" cy="504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0D"/>
    <w:rsid w:val="000F30A5"/>
    <w:rsid w:val="0014572F"/>
    <w:rsid w:val="00151766"/>
    <w:rsid w:val="001D0180"/>
    <w:rsid w:val="006445A9"/>
    <w:rsid w:val="006977CE"/>
    <w:rsid w:val="00735E4D"/>
    <w:rsid w:val="00840E02"/>
    <w:rsid w:val="008758D8"/>
    <w:rsid w:val="00891BC7"/>
    <w:rsid w:val="00AE5E2B"/>
    <w:rsid w:val="00C05E56"/>
    <w:rsid w:val="00D725EF"/>
    <w:rsid w:val="00DE35AD"/>
    <w:rsid w:val="00E706FD"/>
    <w:rsid w:val="00FB4054"/>
    <w:rsid w:val="00F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78E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60D"/>
    <w:pPr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F560D"/>
    <w:pPr>
      <w:keepNext/>
      <w:spacing w:before="480" w:after="60"/>
      <w:outlineLvl w:val="1"/>
    </w:pPr>
    <w:rPr>
      <w:rFonts w:cs="Arial"/>
      <w:bCs/>
      <w:iCs/>
      <w:color w:val="333399"/>
      <w:sz w:val="28"/>
      <w:szCs w:val="28"/>
      <w:u w:val="double" w:color="008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F560D"/>
    <w:rPr>
      <w:rFonts w:ascii="Verdana" w:eastAsia="Times New Roman" w:hAnsi="Verdana" w:cs="Arial"/>
      <w:bCs/>
      <w:iCs/>
      <w:color w:val="333399"/>
      <w:sz w:val="28"/>
      <w:szCs w:val="28"/>
      <w:u w:val="double" w:color="008000"/>
    </w:rPr>
  </w:style>
  <w:style w:type="paragraph" w:styleId="Header">
    <w:name w:val="header"/>
    <w:basedOn w:val="Normal"/>
    <w:link w:val="HeaderChar"/>
    <w:rsid w:val="00FF56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F560D"/>
    <w:rPr>
      <w:rFonts w:ascii="Verdana" w:eastAsia="Times New Roman" w:hAnsi="Verdana" w:cs="Times New Roman"/>
      <w:sz w:val="20"/>
      <w:szCs w:val="20"/>
    </w:rPr>
  </w:style>
  <w:style w:type="paragraph" w:styleId="Footer">
    <w:name w:val="footer"/>
    <w:basedOn w:val="Normal"/>
    <w:link w:val="FooterChar"/>
    <w:rsid w:val="00FF560D"/>
    <w:rPr>
      <w:sz w:val="16"/>
    </w:rPr>
  </w:style>
  <w:style w:type="character" w:customStyle="1" w:styleId="FooterChar">
    <w:name w:val="Footer Char"/>
    <w:basedOn w:val="DefaultParagraphFont"/>
    <w:link w:val="Footer"/>
    <w:rsid w:val="00FF560D"/>
    <w:rPr>
      <w:rFonts w:ascii="Verdana" w:eastAsia="Times New Roman" w:hAnsi="Verdana" w:cs="Times New Roman"/>
      <w:sz w:val="16"/>
      <w:szCs w:val="20"/>
    </w:rPr>
  </w:style>
  <w:style w:type="paragraph" w:styleId="BodyText">
    <w:name w:val="Body Text"/>
    <w:basedOn w:val="Normal"/>
    <w:link w:val="BodyTextChar"/>
    <w:rsid w:val="00FF560D"/>
    <w:pPr>
      <w:spacing w:after="120"/>
      <w:jc w:val="both"/>
    </w:pPr>
    <w:rPr>
      <w:bCs/>
      <w:szCs w:val="24"/>
    </w:rPr>
  </w:style>
  <w:style w:type="character" w:customStyle="1" w:styleId="BodyTextChar">
    <w:name w:val="Body Text Char"/>
    <w:basedOn w:val="DefaultParagraphFont"/>
    <w:link w:val="BodyText"/>
    <w:rsid w:val="00FF560D"/>
    <w:rPr>
      <w:rFonts w:ascii="Verdana" w:eastAsia="Times New Roman" w:hAnsi="Verdana" w:cs="Times New Roman"/>
      <w:bCs/>
      <w:sz w:val="20"/>
      <w:szCs w:val="24"/>
    </w:rPr>
  </w:style>
  <w:style w:type="character" w:styleId="PageNumber">
    <w:name w:val="page number"/>
    <w:basedOn w:val="DefaultParagraphFont"/>
    <w:rsid w:val="00FF5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7F5E5-0B6B-440B-BAEC-C95A59D30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2023-11-13T23:55:00Z</dcterms:created>
  <dcterms:modified xsi:type="dcterms:W3CDTF">2023-11-13T23:55:00Z</dcterms:modified>
</cp:coreProperties>
</file>